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DA5" w:rsidRPr="006C7260" w:rsidRDefault="006E0E66" w:rsidP="006E0E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Patient’s Guide to </w:t>
      </w:r>
      <w:r w:rsidR="006C7260" w:rsidRPr="006C7260">
        <w:rPr>
          <w:rFonts w:ascii="Arial" w:hAnsi="Arial" w:cs="Arial"/>
          <w:sz w:val="24"/>
          <w:szCs w:val="24"/>
        </w:rPr>
        <w:t>Barrett’s Esophagus</w:t>
      </w:r>
    </w:p>
    <w:p w:rsidR="006C7260" w:rsidRPr="00F61718" w:rsidRDefault="006C7260" w:rsidP="007A079C">
      <w:pPr>
        <w:contextualSpacing/>
        <w:rPr>
          <w:rFonts w:ascii="Arial" w:hAnsi="Arial" w:cs="Arial"/>
          <w:b/>
          <w:sz w:val="24"/>
          <w:szCs w:val="24"/>
        </w:rPr>
      </w:pPr>
      <w:r w:rsidRPr="00F61718">
        <w:rPr>
          <w:rFonts w:ascii="Arial" w:hAnsi="Arial" w:cs="Arial"/>
          <w:b/>
          <w:sz w:val="24"/>
          <w:szCs w:val="24"/>
        </w:rPr>
        <w:t xml:space="preserve">What is </w:t>
      </w:r>
      <w:r w:rsidRPr="00F61718">
        <w:rPr>
          <w:rFonts w:ascii="Arial" w:hAnsi="Arial" w:cs="Arial"/>
          <w:b/>
          <w:sz w:val="24"/>
          <w:szCs w:val="24"/>
        </w:rPr>
        <w:t>Barrett’s Esophagus</w:t>
      </w:r>
      <w:r w:rsidRPr="00F61718">
        <w:rPr>
          <w:rFonts w:ascii="Arial" w:hAnsi="Arial" w:cs="Arial"/>
          <w:b/>
          <w:sz w:val="24"/>
          <w:szCs w:val="24"/>
        </w:rPr>
        <w:t>?</w:t>
      </w:r>
    </w:p>
    <w:p w:rsidR="007A079C" w:rsidRDefault="00F61718" w:rsidP="007A079C">
      <w:pPr>
        <w:contextualSpacing/>
        <w:rPr>
          <w:rFonts w:ascii="Arial" w:hAnsi="Arial" w:cs="Arial"/>
        </w:rPr>
      </w:pPr>
      <w:r w:rsidRPr="003A03F0">
        <w:rPr>
          <w:rFonts w:ascii="Arial" w:hAnsi="Arial" w:cs="Arial"/>
        </w:rPr>
        <w:t xml:space="preserve">Barrett’s </w:t>
      </w:r>
      <w:r w:rsidRPr="003A03F0">
        <w:rPr>
          <w:rFonts w:ascii="Arial" w:hAnsi="Arial" w:cs="Arial"/>
        </w:rPr>
        <w:t>e</w:t>
      </w:r>
      <w:r w:rsidRPr="003A03F0">
        <w:rPr>
          <w:rFonts w:ascii="Arial" w:hAnsi="Arial" w:cs="Arial"/>
        </w:rPr>
        <w:t>sophagus</w:t>
      </w:r>
      <w:r w:rsidR="003A03F0" w:rsidRPr="003A03F0">
        <w:rPr>
          <w:rFonts w:ascii="Arial" w:hAnsi="Arial" w:cs="Arial"/>
        </w:rPr>
        <w:t xml:space="preserve"> is a precancerous condition and</w:t>
      </w:r>
      <w:r w:rsidRPr="003A03F0">
        <w:rPr>
          <w:rFonts w:ascii="Arial" w:hAnsi="Arial" w:cs="Arial"/>
        </w:rPr>
        <w:t xml:space="preserve"> refers to </w:t>
      </w:r>
      <w:proofErr w:type="spellStart"/>
      <w:r w:rsidRPr="003A03F0">
        <w:rPr>
          <w:rFonts w:ascii="Arial" w:hAnsi="Arial" w:cs="Arial"/>
        </w:rPr>
        <w:t>metaplastic</w:t>
      </w:r>
      <w:proofErr w:type="spellEnd"/>
      <w:r w:rsidRPr="003A03F0">
        <w:rPr>
          <w:rFonts w:ascii="Arial" w:hAnsi="Arial" w:cs="Arial"/>
        </w:rPr>
        <w:t xml:space="preserve"> conversion of normal squamous epithelium of tubular esophagus</w:t>
      </w:r>
      <w:r w:rsidR="003A03F0" w:rsidRPr="003A03F0">
        <w:rPr>
          <w:rFonts w:ascii="Arial" w:hAnsi="Arial" w:cs="Arial"/>
        </w:rPr>
        <w:t xml:space="preserve"> </w:t>
      </w:r>
      <w:r w:rsidR="003A03F0" w:rsidRPr="003A03F0">
        <w:rPr>
          <w:rFonts w:ascii="Arial" w:hAnsi="Arial" w:cs="Arial"/>
        </w:rPr>
        <w:t xml:space="preserve">(see figure a) </w:t>
      </w:r>
      <w:r w:rsidRPr="003A03F0">
        <w:rPr>
          <w:rFonts w:ascii="Arial" w:hAnsi="Arial" w:cs="Arial"/>
        </w:rPr>
        <w:t xml:space="preserve">to columnar epithelium (figure b). Normally the </w:t>
      </w:r>
      <w:proofErr w:type="spellStart"/>
      <w:r w:rsidRPr="003A03F0">
        <w:rPr>
          <w:rFonts w:ascii="Arial" w:hAnsi="Arial" w:cs="Arial"/>
        </w:rPr>
        <w:t>gastroesophageal</w:t>
      </w:r>
      <w:proofErr w:type="spellEnd"/>
      <w:r w:rsidRPr="003A03F0">
        <w:rPr>
          <w:rFonts w:ascii="Arial" w:hAnsi="Arial" w:cs="Arial"/>
        </w:rPr>
        <w:t xml:space="preserve"> junction</w:t>
      </w:r>
      <w:r w:rsidR="00057ADB">
        <w:rPr>
          <w:rFonts w:ascii="Arial" w:hAnsi="Arial" w:cs="Arial"/>
        </w:rPr>
        <w:t xml:space="preserve"> (GEJ)</w:t>
      </w:r>
      <w:r w:rsidRPr="003A03F0">
        <w:rPr>
          <w:rFonts w:ascii="Arial" w:hAnsi="Arial" w:cs="Arial"/>
        </w:rPr>
        <w:t xml:space="preserve"> divides the esophagus and stomach</w:t>
      </w:r>
      <w:r w:rsidR="003A03F0">
        <w:rPr>
          <w:rFonts w:ascii="Arial" w:hAnsi="Arial" w:cs="Arial"/>
        </w:rPr>
        <w:t xml:space="preserve"> and</w:t>
      </w:r>
      <w:r w:rsidRPr="003A03F0">
        <w:rPr>
          <w:rFonts w:ascii="Arial" w:hAnsi="Arial" w:cs="Arial"/>
        </w:rPr>
        <w:t xml:space="preserve"> corresponds to </w:t>
      </w:r>
      <w:proofErr w:type="spellStart"/>
      <w:r w:rsidRPr="003A03F0">
        <w:rPr>
          <w:rFonts w:ascii="Arial" w:hAnsi="Arial" w:cs="Arial"/>
        </w:rPr>
        <w:t>squamocolumnar</w:t>
      </w:r>
      <w:proofErr w:type="spellEnd"/>
      <w:r w:rsidRPr="003A03F0">
        <w:rPr>
          <w:rFonts w:ascii="Arial" w:hAnsi="Arial" w:cs="Arial"/>
        </w:rPr>
        <w:t xml:space="preserve"> junction</w:t>
      </w:r>
      <w:r w:rsidR="00057ADB">
        <w:rPr>
          <w:rFonts w:ascii="Arial" w:hAnsi="Arial" w:cs="Arial"/>
        </w:rPr>
        <w:t xml:space="preserve"> (SCJ</w:t>
      </w:r>
      <w:r w:rsidR="007A079C">
        <w:rPr>
          <w:rFonts w:ascii="Arial" w:hAnsi="Arial" w:cs="Arial"/>
        </w:rPr>
        <w:t xml:space="preserve"> “Z-</w:t>
      </w:r>
      <w:proofErr w:type="spellStart"/>
      <w:r w:rsidR="007A079C">
        <w:rPr>
          <w:rFonts w:ascii="Arial" w:hAnsi="Arial" w:cs="Arial"/>
        </w:rPr>
        <w:t>lin</w:t>
      </w:r>
      <w:proofErr w:type="spellEnd"/>
      <w:r w:rsidR="007A079C">
        <w:rPr>
          <w:rFonts w:ascii="Arial" w:hAnsi="Arial" w:cs="Arial"/>
        </w:rPr>
        <w:t>”</w:t>
      </w:r>
      <w:r w:rsidR="00057ADB">
        <w:rPr>
          <w:rFonts w:ascii="Arial" w:hAnsi="Arial" w:cs="Arial"/>
        </w:rPr>
        <w:t>)</w:t>
      </w:r>
      <w:r w:rsidRPr="003A03F0">
        <w:rPr>
          <w:rFonts w:ascii="Arial" w:hAnsi="Arial" w:cs="Arial"/>
        </w:rPr>
        <w:t xml:space="preserve">. The esophagus is lined by stratified squamous epithelium. The stomach is lined by columnar epithelium. In some chronic injury setting such as </w:t>
      </w:r>
      <w:proofErr w:type="spellStart"/>
      <w:r w:rsidR="003A03F0" w:rsidRPr="003A03F0">
        <w:rPr>
          <w:rFonts w:ascii="Arial" w:hAnsi="Arial" w:cs="Arial"/>
        </w:rPr>
        <w:t>gastroesophageal</w:t>
      </w:r>
      <w:proofErr w:type="spellEnd"/>
      <w:r w:rsidR="003A03F0" w:rsidRPr="003A03F0">
        <w:rPr>
          <w:rFonts w:ascii="Arial" w:hAnsi="Arial" w:cs="Arial"/>
        </w:rPr>
        <w:t xml:space="preserve"> reflux disease (GERD)</w:t>
      </w:r>
      <w:r w:rsidRPr="003A03F0">
        <w:rPr>
          <w:rFonts w:ascii="Arial" w:hAnsi="Arial" w:cs="Arial"/>
        </w:rPr>
        <w:t xml:space="preserve">, the esophageal squamous epithelium goes through a </w:t>
      </w:r>
      <w:proofErr w:type="spellStart"/>
      <w:r w:rsidRPr="003A03F0">
        <w:rPr>
          <w:rFonts w:ascii="Arial" w:hAnsi="Arial" w:cs="Arial"/>
        </w:rPr>
        <w:t>metaplastic</w:t>
      </w:r>
      <w:proofErr w:type="spellEnd"/>
      <w:r w:rsidRPr="003A03F0">
        <w:rPr>
          <w:rFonts w:ascii="Arial" w:hAnsi="Arial" w:cs="Arial"/>
        </w:rPr>
        <w:t xml:space="preserve"> process and is converted to a columnar epithelium with goblet cells (which are usually found lower in the gastrointestinal tract and thus also called “intestinal metaplasia”). </w:t>
      </w:r>
    </w:p>
    <w:p w:rsidR="00F61718" w:rsidRDefault="00F61718" w:rsidP="002570E5">
      <w:pPr>
        <w:rPr>
          <w:rFonts w:ascii="Arial" w:hAnsi="Arial" w:cs="Arial"/>
        </w:rPr>
      </w:pPr>
      <w:r w:rsidRPr="003A03F0">
        <w:rPr>
          <w:rFonts w:ascii="Arial" w:hAnsi="Arial" w:cs="Arial"/>
        </w:rPr>
        <w:t xml:space="preserve">The main cause of Barrett's esophagus is thought to be an adaptation to chronic acid exposure from GERD. GERD is associated with a 10–15% risk of </w:t>
      </w:r>
      <w:r w:rsidRPr="003A03F0">
        <w:rPr>
          <w:rFonts w:ascii="Arial" w:hAnsi="Arial" w:cs="Arial"/>
        </w:rPr>
        <w:t xml:space="preserve">Barrett’s </w:t>
      </w:r>
      <w:r w:rsidRPr="003A03F0">
        <w:rPr>
          <w:rFonts w:ascii="Arial" w:hAnsi="Arial" w:cs="Arial"/>
        </w:rPr>
        <w:t>e</w:t>
      </w:r>
      <w:r w:rsidRPr="003A03F0">
        <w:rPr>
          <w:rFonts w:ascii="Arial" w:hAnsi="Arial" w:cs="Arial"/>
        </w:rPr>
        <w:t>sophagus</w:t>
      </w:r>
      <w:r w:rsidRPr="003A03F0">
        <w:rPr>
          <w:rFonts w:ascii="Arial" w:hAnsi="Arial" w:cs="Arial"/>
        </w:rPr>
        <w:t xml:space="preserve">. </w:t>
      </w:r>
      <w:r w:rsidR="002570E5" w:rsidRPr="003A03F0">
        <w:rPr>
          <w:rFonts w:ascii="Arial" w:hAnsi="Arial" w:cs="Arial"/>
        </w:rPr>
        <w:t>Other r</w:t>
      </w:r>
      <w:r w:rsidR="002570E5" w:rsidRPr="003A03F0">
        <w:rPr>
          <w:rFonts w:ascii="Arial" w:hAnsi="Arial" w:cs="Arial"/>
        </w:rPr>
        <w:t>isk factors associated</w:t>
      </w:r>
      <w:r w:rsidR="002570E5" w:rsidRPr="003A03F0">
        <w:rPr>
          <w:rFonts w:ascii="Arial" w:hAnsi="Arial" w:cs="Arial"/>
        </w:rPr>
        <w:t xml:space="preserve"> </w:t>
      </w:r>
      <w:r w:rsidR="002570E5" w:rsidRPr="003A03F0">
        <w:rPr>
          <w:rFonts w:ascii="Arial" w:hAnsi="Arial" w:cs="Arial"/>
        </w:rPr>
        <w:t>with the development of Barrett’s esophagus include male</w:t>
      </w:r>
      <w:r w:rsidR="002570E5" w:rsidRPr="003A03F0">
        <w:rPr>
          <w:rFonts w:ascii="Arial" w:hAnsi="Arial" w:cs="Arial"/>
        </w:rPr>
        <w:t xml:space="preserve"> </w:t>
      </w:r>
      <w:r w:rsidR="002570E5" w:rsidRPr="003A03F0">
        <w:rPr>
          <w:rFonts w:ascii="Arial" w:hAnsi="Arial" w:cs="Arial"/>
        </w:rPr>
        <w:t>gender, central obesity and age over 50 years</w:t>
      </w:r>
      <w:r w:rsidR="002570E5" w:rsidRPr="003A03F0">
        <w:rPr>
          <w:rFonts w:ascii="Arial" w:hAnsi="Arial" w:cs="Arial"/>
        </w:rPr>
        <w:t xml:space="preserve">. </w:t>
      </w:r>
    </w:p>
    <w:p w:rsidR="003A03F0" w:rsidRDefault="003A03F0" w:rsidP="002570E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97565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F0" w:rsidRPr="003A03F0" w:rsidRDefault="003A03F0" w:rsidP="002570E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0464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18" w:rsidRPr="00F61718" w:rsidRDefault="00F61718" w:rsidP="007A079C">
      <w:pPr>
        <w:contextualSpacing/>
        <w:rPr>
          <w:rFonts w:ascii="Arial" w:hAnsi="Arial" w:cs="Arial"/>
          <w:b/>
          <w:sz w:val="24"/>
          <w:szCs w:val="24"/>
        </w:rPr>
      </w:pPr>
      <w:r w:rsidRPr="00F61718">
        <w:rPr>
          <w:rFonts w:ascii="Arial" w:hAnsi="Arial" w:cs="Arial"/>
          <w:b/>
          <w:sz w:val="24"/>
          <w:szCs w:val="24"/>
        </w:rPr>
        <w:t>What is the clinical complication of Barrett’s Esophagus?</w:t>
      </w:r>
    </w:p>
    <w:p w:rsidR="00000000" w:rsidRPr="003A03F0" w:rsidRDefault="00F61718" w:rsidP="007A079C">
      <w:pPr>
        <w:contextualSpacing/>
        <w:rPr>
          <w:rFonts w:ascii="Arial" w:hAnsi="Arial" w:cs="Arial"/>
        </w:rPr>
      </w:pPr>
      <w:r w:rsidRPr="003A03F0">
        <w:rPr>
          <w:rFonts w:ascii="Arial" w:hAnsi="Arial" w:cs="Arial"/>
        </w:rPr>
        <w:t xml:space="preserve">Barrett’s </w:t>
      </w:r>
      <w:r w:rsidRPr="003A03F0">
        <w:rPr>
          <w:rFonts w:ascii="Arial" w:hAnsi="Arial" w:cs="Arial"/>
        </w:rPr>
        <w:t>e</w:t>
      </w:r>
      <w:r w:rsidRPr="003A03F0">
        <w:rPr>
          <w:rFonts w:ascii="Arial" w:hAnsi="Arial" w:cs="Arial"/>
        </w:rPr>
        <w:t>sophagus</w:t>
      </w:r>
      <w:r w:rsidRPr="003A03F0">
        <w:rPr>
          <w:rFonts w:ascii="Arial" w:hAnsi="Arial" w:cs="Arial"/>
        </w:rPr>
        <w:t xml:space="preserve"> </w:t>
      </w:r>
      <w:r w:rsidR="00587649" w:rsidRPr="003A03F0">
        <w:rPr>
          <w:rFonts w:ascii="Arial" w:hAnsi="Arial" w:cs="Arial"/>
        </w:rPr>
        <w:t>is the only recognized precursor of esophageal adenocarcinoma which incidence has been increasing in the United States since 1970s.</w:t>
      </w:r>
      <w:r w:rsidR="003A03F0" w:rsidRPr="003A03F0">
        <w:rPr>
          <w:rFonts w:ascii="Arial" w:hAnsi="Arial" w:cs="Arial"/>
        </w:rPr>
        <w:t xml:space="preserve"> </w:t>
      </w:r>
      <w:r w:rsidR="003A03F0" w:rsidRPr="003A03F0">
        <w:rPr>
          <w:rFonts w:ascii="Arial" w:hAnsi="Arial" w:cs="Arial"/>
        </w:rPr>
        <w:t xml:space="preserve">Patients with Barrett's </w:t>
      </w:r>
      <w:r w:rsidR="003A03F0" w:rsidRPr="003A03F0">
        <w:rPr>
          <w:rFonts w:ascii="Arial" w:hAnsi="Arial" w:cs="Arial"/>
        </w:rPr>
        <w:lastRenderedPageBreak/>
        <w:t>esophagus have a 30-125 fold higher risk of developing cancer of the esophagus than the general population.</w:t>
      </w:r>
    </w:p>
    <w:p w:rsidR="003A03F0" w:rsidRDefault="003A03F0">
      <w:pPr>
        <w:rPr>
          <w:rFonts w:ascii="Arial" w:hAnsi="Arial" w:cs="Arial"/>
          <w:b/>
          <w:sz w:val="24"/>
          <w:szCs w:val="24"/>
        </w:rPr>
      </w:pPr>
    </w:p>
    <w:p w:rsidR="006C7260" w:rsidRPr="00160E73" w:rsidRDefault="006C7260" w:rsidP="007A079C">
      <w:pPr>
        <w:contextualSpacing/>
        <w:rPr>
          <w:rFonts w:ascii="Arial" w:hAnsi="Arial" w:cs="Arial"/>
          <w:b/>
          <w:sz w:val="24"/>
          <w:szCs w:val="24"/>
        </w:rPr>
      </w:pPr>
      <w:r w:rsidRPr="00160E73">
        <w:rPr>
          <w:rFonts w:ascii="Arial" w:hAnsi="Arial" w:cs="Arial"/>
          <w:b/>
          <w:sz w:val="24"/>
          <w:szCs w:val="24"/>
        </w:rPr>
        <w:t xml:space="preserve">How is </w:t>
      </w:r>
      <w:r w:rsidRPr="00160E73">
        <w:rPr>
          <w:rFonts w:ascii="Arial" w:hAnsi="Arial" w:cs="Arial"/>
          <w:b/>
          <w:sz w:val="24"/>
          <w:szCs w:val="24"/>
        </w:rPr>
        <w:t>Barrett’s Esophagus</w:t>
      </w:r>
      <w:r w:rsidRPr="00160E73">
        <w:rPr>
          <w:rFonts w:ascii="Arial" w:hAnsi="Arial" w:cs="Arial"/>
          <w:b/>
          <w:sz w:val="24"/>
          <w:szCs w:val="24"/>
        </w:rPr>
        <w:t xml:space="preserve"> diagnosed?</w:t>
      </w:r>
    </w:p>
    <w:p w:rsidR="00057ADB" w:rsidRDefault="00F61718" w:rsidP="007A079C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</w:rPr>
      </w:pPr>
      <w:r w:rsidRPr="003A03F0">
        <w:rPr>
          <w:rFonts w:ascii="Arial" w:hAnsi="Arial" w:cs="Arial"/>
        </w:rPr>
        <w:t xml:space="preserve">Diagnosis </w:t>
      </w:r>
      <w:r w:rsidR="00160E73" w:rsidRPr="003A03F0">
        <w:rPr>
          <w:rFonts w:ascii="Arial" w:hAnsi="Arial" w:cs="Arial"/>
        </w:rPr>
        <w:t xml:space="preserve">of </w:t>
      </w:r>
      <w:r w:rsidR="00160E73" w:rsidRPr="003A03F0">
        <w:rPr>
          <w:rFonts w:ascii="Arial" w:hAnsi="Arial" w:cs="Arial"/>
        </w:rPr>
        <w:t xml:space="preserve">Barrett’s </w:t>
      </w:r>
      <w:r w:rsidR="00160E73" w:rsidRPr="003A03F0">
        <w:rPr>
          <w:rFonts w:ascii="Arial" w:hAnsi="Arial" w:cs="Arial"/>
        </w:rPr>
        <w:t>e</w:t>
      </w:r>
      <w:r w:rsidR="00160E73" w:rsidRPr="003A03F0">
        <w:rPr>
          <w:rFonts w:ascii="Arial" w:hAnsi="Arial" w:cs="Arial"/>
        </w:rPr>
        <w:t>sophagus</w:t>
      </w:r>
      <w:r w:rsidR="00160E73" w:rsidRPr="003A03F0">
        <w:rPr>
          <w:rFonts w:ascii="Arial" w:hAnsi="Arial" w:cs="Arial"/>
        </w:rPr>
        <w:t xml:space="preserve"> </w:t>
      </w:r>
      <w:r w:rsidRPr="003A03F0">
        <w:rPr>
          <w:rFonts w:ascii="Arial" w:hAnsi="Arial" w:cs="Arial"/>
        </w:rPr>
        <w:t>requires esophagogastroduodenoscopy</w:t>
      </w:r>
      <w:r w:rsidR="005C6700">
        <w:rPr>
          <w:rFonts w:ascii="Arial" w:hAnsi="Arial" w:cs="Arial"/>
        </w:rPr>
        <w:t xml:space="preserve"> </w:t>
      </w:r>
      <w:r w:rsidR="00160E73" w:rsidRPr="003A03F0">
        <w:rPr>
          <w:rFonts w:ascii="Arial" w:hAnsi="Arial" w:cs="Arial"/>
        </w:rPr>
        <w:t>(</w:t>
      </w:r>
      <w:r w:rsidRPr="003A03F0">
        <w:rPr>
          <w:rFonts w:ascii="Arial" w:hAnsi="Arial" w:cs="Arial"/>
        </w:rPr>
        <w:t xml:space="preserve">a procedure in which a </w:t>
      </w:r>
      <w:proofErr w:type="spellStart"/>
      <w:r w:rsidRPr="003A03F0">
        <w:rPr>
          <w:rFonts w:ascii="Arial" w:hAnsi="Arial" w:cs="Arial"/>
        </w:rPr>
        <w:t>fibreoptic</w:t>
      </w:r>
      <w:proofErr w:type="spellEnd"/>
      <w:r w:rsidRPr="003A03F0">
        <w:rPr>
          <w:rFonts w:ascii="Arial" w:hAnsi="Arial" w:cs="Arial"/>
        </w:rPr>
        <w:t xml:space="preserve"> cable is inserted through the mouth to examine the esophagus, stomach, and duodenum) and biopsy</w:t>
      </w:r>
      <w:r w:rsidR="00057ADB">
        <w:rPr>
          <w:rFonts w:ascii="Arial" w:hAnsi="Arial" w:cs="Arial"/>
        </w:rPr>
        <w:t xml:space="preserve"> of esophageal lining</w:t>
      </w:r>
      <w:r w:rsidRPr="003A03F0">
        <w:rPr>
          <w:rFonts w:ascii="Arial" w:hAnsi="Arial" w:cs="Arial"/>
        </w:rPr>
        <w:t xml:space="preserve">. </w:t>
      </w:r>
      <w:r w:rsidR="00160E73" w:rsidRPr="003A03F0">
        <w:rPr>
          <w:rFonts w:ascii="Arial" w:hAnsi="Arial" w:cs="Arial"/>
        </w:rPr>
        <w:t>According to American College of Gastroenterology guideline,</w:t>
      </w:r>
      <w:r w:rsidR="00160E73" w:rsidRPr="003A03F0">
        <w:rPr>
          <w:rFonts w:ascii="Arial" w:eastAsia="MinionPro-Regular" w:hAnsi="Arial" w:cs="Arial"/>
        </w:rPr>
        <w:t xml:space="preserve"> </w:t>
      </w:r>
      <w:r w:rsidR="00160E73" w:rsidRPr="003A03F0">
        <w:rPr>
          <w:rFonts w:ascii="Arial" w:hAnsi="Arial" w:cs="Arial"/>
        </w:rPr>
        <w:t xml:space="preserve">Barrett’s esophagus </w:t>
      </w:r>
      <w:r w:rsidR="00160E73" w:rsidRPr="003A03F0">
        <w:rPr>
          <w:rFonts w:ascii="Arial" w:eastAsia="MinionPro-Regular" w:hAnsi="Arial" w:cs="Arial"/>
        </w:rPr>
        <w:t xml:space="preserve">should be diagnosed when there is extension of </w:t>
      </w:r>
      <w:proofErr w:type="spellStart"/>
      <w:r w:rsidR="00160E73" w:rsidRPr="003A03F0">
        <w:rPr>
          <w:rFonts w:ascii="Arial" w:eastAsia="MinionPro-Regular" w:hAnsi="Arial" w:cs="Arial"/>
        </w:rPr>
        <w:t>salmoncolored</w:t>
      </w:r>
      <w:proofErr w:type="spellEnd"/>
      <w:r w:rsidR="00160E73" w:rsidRPr="003A03F0">
        <w:rPr>
          <w:rFonts w:ascii="Arial" w:eastAsia="MinionPro-Regular" w:hAnsi="Arial" w:cs="Arial"/>
        </w:rPr>
        <w:t xml:space="preserve"> </w:t>
      </w:r>
      <w:r w:rsidR="00160E73" w:rsidRPr="003A03F0">
        <w:rPr>
          <w:rFonts w:ascii="Arial" w:eastAsia="MinionPro-Regular" w:hAnsi="Arial" w:cs="Arial"/>
        </w:rPr>
        <w:t>mucosa into the tubular esophagus extending ≥1 cm</w:t>
      </w:r>
      <w:r w:rsidR="00057ADB">
        <w:rPr>
          <w:rFonts w:ascii="Arial" w:eastAsia="MinionPro-Regular" w:hAnsi="Arial" w:cs="Arial"/>
        </w:rPr>
        <w:t xml:space="preserve"> </w:t>
      </w:r>
      <w:r w:rsidR="00160E73" w:rsidRPr="003A03F0">
        <w:rPr>
          <w:rFonts w:ascii="Arial" w:eastAsia="MinionPro-Regular" w:hAnsi="Arial" w:cs="Arial"/>
        </w:rPr>
        <w:t xml:space="preserve">proximal to the </w:t>
      </w:r>
      <w:proofErr w:type="spellStart"/>
      <w:r w:rsidR="00160E73" w:rsidRPr="003A03F0">
        <w:rPr>
          <w:rFonts w:ascii="Arial" w:eastAsia="MinionPro-Regular" w:hAnsi="Arial" w:cs="Arial"/>
        </w:rPr>
        <w:t>gastroesophageal</w:t>
      </w:r>
      <w:proofErr w:type="spellEnd"/>
      <w:r w:rsidR="00160E73" w:rsidRPr="003A03F0">
        <w:rPr>
          <w:rFonts w:ascii="Arial" w:eastAsia="MinionPro-Regular" w:hAnsi="Arial" w:cs="Arial"/>
        </w:rPr>
        <w:t xml:space="preserve"> junction (GEJ) with biopsy</w:t>
      </w:r>
      <w:r w:rsidR="00160E73" w:rsidRPr="003A03F0">
        <w:rPr>
          <w:rFonts w:ascii="Arial" w:eastAsia="MinionPro-Regular" w:hAnsi="Arial" w:cs="Arial"/>
        </w:rPr>
        <w:t xml:space="preserve"> </w:t>
      </w:r>
      <w:r w:rsidR="00057ADB">
        <w:rPr>
          <w:rFonts w:ascii="Arial" w:eastAsia="MinionPro-Regular" w:hAnsi="Arial" w:cs="Arial"/>
        </w:rPr>
        <w:t>confi</w:t>
      </w:r>
      <w:r w:rsidR="00160E73" w:rsidRPr="003A03F0">
        <w:rPr>
          <w:rFonts w:ascii="Arial" w:eastAsia="MinionPro-Regular" w:hAnsi="Arial" w:cs="Arial"/>
        </w:rPr>
        <w:t xml:space="preserve">rmation of </w:t>
      </w:r>
      <w:r w:rsidR="00160E73" w:rsidRPr="003A03F0">
        <w:rPr>
          <w:rFonts w:ascii="Arial" w:eastAsia="MinionPro-Regular" w:hAnsi="Arial" w:cs="Arial"/>
        </w:rPr>
        <w:t>intestinal metaplasia</w:t>
      </w:r>
      <w:r w:rsidR="00160E73" w:rsidRPr="003A03F0">
        <w:rPr>
          <w:rFonts w:ascii="Arial" w:eastAsia="MinionPro-Regular" w:hAnsi="Arial" w:cs="Arial"/>
        </w:rPr>
        <w:t>.</w:t>
      </w:r>
      <w:r w:rsidR="00160E73" w:rsidRPr="003A03F0">
        <w:rPr>
          <w:rFonts w:ascii="Arial" w:eastAsia="MinionPro-Regular" w:hAnsi="Arial" w:cs="Arial"/>
        </w:rPr>
        <w:t xml:space="preserve"> </w:t>
      </w:r>
      <w:r w:rsidR="00160E73" w:rsidRPr="003A03F0">
        <w:rPr>
          <w:rFonts w:ascii="Arial" w:hAnsi="Arial" w:cs="Arial"/>
        </w:rPr>
        <w:t xml:space="preserve"> </w:t>
      </w:r>
    </w:p>
    <w:p w:rsidR="00057ADB" w:rsidRDefault="00057ADB" w:rsidP="00160E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7260" w:rsidRPr="003A03F0" w:rsidRDefault="00F61718" w:rsidP="00160E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A03F0">
        <w:rPr>
          <w:rFonts w:ascii="Arial" w:hAnsi="Arial" w:cs="Arial"/>
        </w:rPr>
        <w:t xml:space="preserve">Barrett's esophagus, </w:t>
      </w:r>
      <w:r w:rsidR="00160E73" w:rsidRPr="003A03F0">
        <w:rPr>
          <w:rFonts w:ascii="Arial" w:hAnsi="Arial" w:cs="Arial"/>
        </w:rPr>
        <w:t>based on the histopathology</w:t>
      </w:r>
      <w:r w:rsidRPr="003A03F0">
        <w:rPr>
          <w:rFonts w:ascii="Arial" w:hAnsi="Arial" w:cs="Arial"/>
        </w:rPr>
        <w:t xml:space="preserve">, </w:t>
      </w:r>
      <w:r w:rsidR="00160E73" w:rsidRPr="003A03F0">
        <w:rPr>
          <w:rFonts w:ascii="Arial" w:hAnsi="Arial" w:cs="Arial"/>
        </w:rPr>
        <w:t>is</w:t>
      </w:r>
      <w:r w:rsidRPr="003A03F0">
        <w:rPr>
          <w:rFonts w:ascii="Arial" w:hAnsi="Arial" w:cs="Arial"/>
        </w:rPr>
        <w:t xml:space="preserve"> classified into </w:t>
      </w:r>
      <w:r w:rsidR="00057ADB">
        <w:rPr>
          <w:rFonts w:ascii="Arial" w:hAnsi="Arial" w:cs="Arial"/>
        </w:rPr>
        <w:t>five</w:t>
      </w:r>
      <w:r w:rsidRPr="003A03F0">
        <w:rPr>
          <w:rFonts w:ascii="Arial" w:hAnsi="Arial" w:cs="Arial"/>
        </w:rPr>
        <w:t xml:space="preserve"> categories: </w:t>
      </w:r>
      <w:proofErr w:type="spellStart"/>
      <w:r w:rsidRPr="003A03F0">
        <w:rPr>
          <w:rFonts w:ascii="Arial" w:hAnsi="Arial" w:cs="Arial"/>
        </w:rPr>
        <w:t>nondysplastic</w:t>
      </w:r>
      <w:proofErr w:type="spellEnd"/>
      <w:r w:rsidRPr="003A03F0">
        <w:rPr>
          <w:rFonts w:ascii="Arial" w:hAnsi="Arial" w:cs="Arial"/>
        </w:rPr>
        <w:t xml:space="preserve">, </w:t>
      </w:r>
      <w:r w:rsidR="00057ADB">
        <w:rPr>
          <w:rFonts w:ascii="Arial" w:hAnsi="Arial" w:cs="Arial"/>
        </w:rPr>
        <w:t xml:space="preserve">indefinite for dysplasia, </w:t>
      </w:r>
      <w:r w:rsidRPr="003A03F0">
        <w:rPr>
          <w:rFonts w:ascii="Arial" w:hAnsi="Arial" w:cs="Arial"/>
        </w:rPr>
        <w:t xml:space="preserve">low-grade dysplasia, high-grade dysplasia, and </w:t>
      </w:r>
      <w:r w:rsidR="00160E73" w:rsidRPr="003A03F0">
        <w:rPr>
          <w:rFonts w:ascii="Arial" w:hAnsi="Arial" w:cs="Arial"/>
        </w:rPr>
        <w:t>adeno</w:t>
      </w:r>
      <w:r w:rsidRPr="003A03F0">
        <w:rPr>
          <w:rFonts w:ascii="Arial" w:hAnsi="Arial" w:cs="Arial"/>
        </w:rPr>
        <w:t>carcinoma.</w:t>
      </w:r>
    </w:p>
    <w:p w:rsidR="00160E73" w:rsidRPr="00057ADB" w:rsidRDefault="00160E73" w:rsidP="00160E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C7260" w:rsidRPr="00057ADB" w:rsidRDefault="006C7260" w:rsidP="005C6700">
      <w:pPr>
        <w:contextualSpacing/>
        <w:rPr>
          <w:rFonts w:ascii="Arial" w:hAnsi="Arial" w:cs="Arial"/>
          <w:b/>
          <w:sz w:val="24"/>
          <w:szCs w:val="24"/>
        </w:rPr>
      </w:pPr>
      <w:r w:rsidRPr="00057ADB">
        <w:rPr>
          <w:rFonts w:ascii="Arial" w:hAnsi="Arial" w:cs="Arial"/>
          <w:b/>
          <w:sz w:val="24"/>
          <w:szCs w:val="24"/>
        </w:rPr>
        <w:t xml:space="preserve">Who should be screened for </w:t>
      </w:r>
      <w:r w:rsidRPr="00057ADB">
        <w:rPr>
          <w:rFonts w:ascii="Arial" w:hAnsi="Arial" w:cs="Arial"/>
          <w:b/>
          <w:sz w:val="24"/>
          <w:szCs w:val="24"/>
        </w:rPr>
        <w:t>Barrett’s Esophagus</w:t>
      </w:r>
      <w:r w:rsidRPr="00057ADB">
        <w:rPr>
          <w:rFonts w:ascii="Arial" w:hAnsi="Arial" w:cs="Arial"/>
          <w:b/>
          <w:sz w:val="24"/>
          <w:szCs w:val="24"/>
        </w:rPr>
        <w:t>?</w:t>
      </w:r>
    </w:p>
    <w:p w:rsidR="00160E73" w:rsidRDefault="00160E73" w:rsidP="005C6700">
      <w:pPr>
        <w:contextualSpacing/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Screening for </w:t>
      </w:r>
      <w:r w:rsidR="002570E5" w:rsidRPr="00057ADB">
        <w:rPr>
          <w:rFonts w:ascii="Arial" w:hAnsi="Arial" w:cs="Arial"/>
        </w:rPr>
        <w:t>Barrett's esophagus</w:t>
      </w:r>
      <w:r w:rsidRPr="00057ADB">
        <w:rPr>
          <w:rFonts w:ascii="Arial" w:hAnsi="Arial" w:cs="Arial"/>
        </w:rPr>
        <w:t xml:space="preserve"> may be considered in men with chronic (&gt;5 years) and/or frequent (weekly or more) sy</w:t>
      </w:r>
      <w:r w:rsidR="002570E5" w:rsidRPr="00057ADB">
        <w:rPr>
          <w:rFonts w:ascii="Arial" w:hAnsi="Arial" w:cs="Arial"/>
        </w:rPr>
        <w:t xml:space="preserve">mptoms of </w:t>
      </w:r>
      <w:proofErr w:type="spellStart"/>
      <w:r w:rsidR="002570E5" w:rsidRPr="00057ADB">
        <w:rPr>
          <w:rFonts w:ascii="Arial" w:hAnsi="Arial" w:cs="Arial"/>
        </w:rPr>
        <w:t>gastroesophageal</w:t>
      </w:r>
      <w:proofErr w:type="spellEnd"/>
      <w:r w:rsidR="002570E5" w:rsidRPr="00057ADB">
        <w:rPr>
          <w:rFonts w:ascii="Arial" w:hAnsi="Arial" w:cs="Arial"/>
        </w:rPr>
        <w:t xml:space="preserve"> refl</w:t>
      </w:r>
      <w:r w:rsidRPr="00057ADB">
        <w:rPr>
          <w:rFonts w:ascii="Arial" w:hAnsi="Arial" w:cs="Arial"/>
        </w:rPr>
        <w:t>ux (heartburn or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acid regurgitation) and two or more risk factors for </w:t>
      </w:r>
      <w:r w:rsidR="002570E5" w:rsidRPr="00057ADB">
        <w:rPr>
          <w:rFonts w:ascii="Arial" w:hAnsi="Arial" w:cs="Arial"/>
        </w:rPr>
        <w:t>Barrett's esophagus</w:t>
      </w:r>
      <w:r w:rsidRPr="00057ADB">
        <w:rPr>
          <w:rFonts w:ascii="Arial" w:hAnsi="Arial" w:cs="Arial"/>
        </w:rPr>
        <w:t xml:space="preserve"> or </w:t>
      </w:r>
      <w:r w:rsidR="002570E5" w:rsidRPr="00057ADB">
        <w:rPr>
          <w:rFonts w:ascii="Arial" w:hAnsi="Arial" w:cs="Arial"/>
        </w:rPr>
        <w:t>esophageal adenocarcinoma</w:t>
      </w:r>
      <w:r w:rsidRPr="00057ADB">
        <w:rPr>
          <w:rFonts w:ascii="Arial" w:hAnsi="Arial" w:cs="Arial"/>
        </w:rPr>
        <w:t xml:space="preserve">. These risk factors include: age &gt;50 years, Caucasian race, </w:t>
      </w:r>
      <w:proofErr w:type="gramStart"/>
      <w:r w:rsidRPr="00057ADB">
        <w:rPr>
          <w:rFonts w:ascii="Arial" w:hAnsi="Arial" w:cs="Arial"/>
        </w:rPr>
        <w:t>presence</w:t>
      </w:r>
      <w:proofErr w:type="gramEnd"/>
      <w:r w:rsidRPr="00057ADB">
        <w:rPr>
          <w:rFonts w:ascii="Arial" w:hAnsi="Arial" w:cs="Arial"/>
        </w:rPr>
        <w:t xml:space="preserve"> of central obesity (waist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circumference &gt;102 cm or waist–hip ratio (WHR) &gt;0.9), current or past </w:t>
      </w:r>
      <w:r w:rsidR="002570E5" w:rsidRPr="00057ADB">
        <w:rPr>
          <w:rFonts w:ascii="Arial" w:hAnsi="Arial" w:cs="Arial"/>
        </w:rPr>
        <w:t>history of smoking, and a confi</w:t>
      </w:r>
      <w:r w:rsidRPr="00057ADB">
        <w:rPr>
          <w:rFonts w:ascii="Arial" w:hAnsi="Arial" w:cs="Arial"/>
        </w:rPr>
        <w:t xml:space="preserve">rmed family history of </w:t>
      </w:r>
      <w:r w:rsidR="002570E5" w:rsidRPr="00057ADB">
        <w:rPr>
          <w:rFonts w:ascii="Arial" w:hAnsi="Arial" w:cs="Arial"/>
        </w:rPr>
        <w:t>Barrett's esophagus or esophageal adenocarcinoma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(in a first-degree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relative).</w:t>
      </w:r>
    </w:p>
    <w:p w:rsidR="005C6700" w:rsidRPr="00057ADB" w:rsidRDefault="005C6700" w:rsidP="005C6700">
      <w:pPr>
        <w:contextualSpacing/>
        <w:rPr>
          <w:rFonts w:ascii="Arial" w:hAnsi="Arial" w:cs="Arial"/>
        </w:rPr>
      </w:pPr>
    </w:p>
    <w:p w:rsidR="00160E73" w:rsidRPr="00057ADB" w:rsidRDefault="00160E73" w:rsidP="00160E73">
      <w:pPr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Given the substantially lower risk of </w:t>
      </w:r>
      <w:r w:rsidR="002570E5" w:rsidRPr="00057ADB">
        <w:rPr>
          <w:rFonts w:ascii="Arial" w:hAnsi="Arial" w:cs="Arial"/>
        </w:rPr>
        <w:t>esophageal adenocarcinoma</w:t>
      </w:r>
      <w:r w:rsidRPr="00057ADB">
        <w:rPr>
          <w:rFonts w:ascii="Arial" w:hAnsi="Arial" w:cs="Arial"/>
        </w:rPr>
        <w:t xml:space="preserve"> in females with chronic GER</w:t>
      </w:r>
      <w:r w:rsidR="005C6700">
        <w:rPr>
          <w:rFonts w:ascii="Arial" w:hAnsi="Arial" w:cs="Arial"/>
        </w:rPr>
        <w:t>D</w:t>
      </w:r>
      <w:r w:rsidRPr="00057ADB">
        <w:rPr>
          <w:rFonts w:ascii="Arial" w:hAnsi="Arial" w:cs="Arial"/>
        </w:rPr>
        <w:t xml:space="preserve"> symptoms (when compared with males), screening for </w:t>
      </w:r>
      <w:r w:rsidR="002570E5" w:rsidRPr="00057ADB">
        <w:rPr>
          <w:rFonts w:ascii="Arial" w:hAnsi="Arial" w:cs="Arial"/>
        </w:rPr>
        <w:t>Barrett's esophagus</w:t>
      </w:r>
      <w:r w:rsidRPr="00057ADB">
        <w:rPr>
          <w:rFonts w:ascii="Arial" w:hAnsi="Arial" w:cs="Arial"/>
        </w:rPr>
        <w:t xml:space="preserve"> in females is not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recommended. However, screening could be considered in individual cases as determined by the presence of multiple risk factors for </w:t>
      </w:r>
      <w:r w:rsidR="002570E5" w:rsidRPr="00057ADB">
        <w:rPr>
          <w:rFonts w:ascii="Arial" w:hAnsi="Arial" w:cs="Arial"/>
        </w:rPr>
        <w:t>Barrett's esophagus or esophageal adenocarcinoma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(age &gt;50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years, Caucasian race, chronic and/or frequent GERD, central obesity: waist circumference &gt;88 cm, WHR &gt;0.8, current or past history of smoking, and a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confirmed famil</w:t>
      </w:r>
      <w:r w:rsidR="002570E5" w:rsidRPr="00057ADB">
        <w:rPr>
          <w:rFonts w:ascii="Arial" w:hAnsi="Arial" w:cs="Arial"/>
        </w:rPr>
        <w:t xml:space="preserve">y history of </w:t>
      </w:r>
      <w:r w:rsidR="002570E5" w:rsidRPr="00057ADB">
        <w:rPr>
          <w:rFonts w:ascii="Arial" w:hAnsi="Arial" w:cs="Arial"/>
        </w:rPr>
        <w:t>Barrett's esophagus or esophageal adenocarcinoma</w:t>
      </w:r>
      <w:r w:rsidR="002570E5" w:rsidRPr="00057ADB">
        <w:rPr>
          <w:rFonts w:ascii="Arial" w:hAnsi="Arial" w:cs="Arial"/>
        </w:rPr>
        <w:t xml:space="preserve"> (in a first-degree relative).</w:t>
      </w:r>
    </w:p>
    <w:p w:rsidR="00160E73" w:rsidRPr="00057ADB" w:rsidRDefault="00160E73" w:rsidP="00160E73">
      <w:pPr>
        <w:rPr>
          <w:rFonts w:ascii="Arial" w:hAnsi="Arial" w:cs="Arial"/>
        </w:rPr>
      </w:pPr>
      <w:r w:rsidRPr="00057ADB">
        <w:rPr>
          <w:rFonts w:ascii="Arial" w:hAnsi="Arial" w:cs="Arial"/>
        </w:rPr>
        <w:t>Screening of the general population is not recommended.</w:t>
      </w:r>
    </w:p>
    <w:p w:rsidR="00160E73" w:rsidRPr="00057ADB" w:rsidRDefault="00160E73" w:rsidP="00160E73">
      <w:pPr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If initial endoscopic evaluation is negative for </w:t>
      </w:r>
      <w:r w:rsidR="002570E5" w:rsidRPr="00057ADB">
        <w:rPr>
          <w:rFonts w:ascii="Arial" w:hAnsi="Arial" w:cs="Arial"/>
        </w:rPr>
        <w:t>Barrett's esophagus</w:t>
      </w:r>
      <w:r w:rsidRPr="00057ADB">
        <w:rPr>
          <w:rFonts w:ascii="Arial" w:hAnsi="Arial" w:cs="Arial"/>
        </w:rPr>
        <w:t xml:space="preserve">, repeating endoscopic evaluation for the presence of </w:t>
      </w:r>
      <w:r w:rsidR="002570E5" w:rsidRPr="00057ADB">
        <w:rPr>
          <w:rFonts w:ascii="Arial" w:hAnsi="Arial" w:cs="Arial"/>
        </w:rPr>
        <w:t>Barrett's esophagus</w:t>
      </w:r>
      <w:r w:rsidRPr="00057ADB">
        <w:rPr>
          <w:rFonts w:ascii="Arial" w:hAnsi="Arial" w:cs="Arial"/>
        </w:rPr>
        <w:t xml:space="preserve"> is not recommended. If endoscopy reveals</w:t>
      </w:r>
      <w:r w:rsidR="002570E5" w:rsidRPr="00057ADB">
        <w:rPr>
          <w:rFonts w:ascii="Arial" w:hAnsi="Arial" w:cs="Arial"/>
        </w:rPr>
        <w:t xml:space="preserve"> esophagitis</w:t>
      </w:r>
      <w:r w:rsidRPr="00057ADB">
        <w:rPr>
          <w:rFonts w:ascii="Arial" w:hAnsi="Arial" w:cs="Arial"/>
        </w:rPr>
        <w:t xml:space="preserve">, repeat endoscopic assessment after </w:t>
      </w:r>
      <w:r w:rsidR="002570E5" w:rsidRPr="00057ADB">
        <w:rPr>
          <w:rFonts w:ascii="Arial" w:hAnsi="Arial" w:cs="Arial"/>
        </w:rPr>
        <w:t>proton pump inhibitor</w:t>
      </w:r>
      <w:r w:rsidRPr="00057ADB">
        <w:rPr>
          <w:rFonts w:ascii="Arial" w:hAnsi="Arial" w:cs="Arial"/>
        </w:rPr>
        <w:t xml:space="preserve"> therapy for 8–12 weeks is recommended to ensure healing of</w:t>
      </w:r>
      <w:r w:rsidR="002570E5"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esophagitis and exclude the presence of underlying </w:t>
      </w:r>
      <w:r w:rsidR="002570E5" w:rsidRPr="00057ADB">
        <w:rPr>
          <w:rFonts w:ascii="Arial" w:hAnsi="Arial" w:cs="Arial"/>
        </w:rPr>
        <w:t xml:space="preserve">Barrett's </w:t>
      </w:r>
      <w:bookmarkStart w:id="0" w:name="_GoBack"/>
      <w:bookmarkEnd w:id="0"/>
      <w:r w:rsidR="002570E5" w:rsidRPr="00057ADB">
        <w:rPr>
          <w:rFonts w:ascii="Arial" w:hAnsi="Arial" w:cs="Arial"/>
        </w:rPr>
        <w:t>esophagus</w:t>
      </w:r>
      <w:r w:rsidRPr="00057ADB">
        <w:rPr>
          <w:rFonts w:ascii="Arial" w:hAnsi="Arial" w:cs="Arial"/>
        </w:rPr>
        <w:t>.</w:t>
      </w:r>
    </w:p>
    <w:p w:rsidR="005C6700" w:rsidRDefault="005C6700" w:rsidP="005C6700">
      <w:pPr>
        <w:contextualSpacing/>
        <w:rPr>
          <w:rFonts w:ascii="Arial" w:hAnsi="Arial" w:cs="Arial"/>
          <w:b/>
          <w:sz w:val="24"/>
          <w:szCs w:val="24"/>
        </w:rPr>
      </w:pPr>
    </w:p>
    <w:p w:rsidR="006C7260" w:rsidRDefault="006C7260" w:rsidP="005C6700">
      <w:pPr>
        <w:contextualSpacing/>
        <w:rPr>
          <w:rFonts w:ascii="Arial" w:hAnsi="Arial" w:cs="Arial"/>
          <w:sz w:val="24"/>
          <w:szCs w:val="24"/>
        </w:rPr>
      </w:pPr>
      <w:r w:rsidRPr="002570E5">
        <w:rPr>
          <w:rFonts w:ascii="Arial" w:hAnsi="Arial" w:cs="Arial"/>
          <w:b/>
          <w:sz w:val="24"/>
          <w:szCs w:val="24"/>
        </w:rPr>
        <w:t xml:space="preserve">What is the surveillance of patients with </w:t>
      </w:r>
      <w:r w:rsidRPr="002570E5">
        <w:rPr>
          <w:rFonts w:ascii="Arial" w:hAnsi="Arial" w:cs="Arial"/>
          <w:b/>
          <w:sz w:val="24"/>
          <w:szCs w:val="24"/>
        </w:rPr>
        <w:t>Barrett’s Esophagus</w:t>
      </w:r>
      <w:r>
        <w:rPr>
          <w:rFonts w:ascii="Arial" w:hAnsi="Arial" w:cs="Arial"/>
          <w:sz w:val="24"/>
          <w:szCs w:val="24"/>
        </w:rPr>
        <w:t>?</w:t>
      </w:r>
    </w:p>
    <w:p w:rsidR="002570E5" w:rsidRDefault="00783578" w:rsidP="005C6700">
      <w:pPr>
        <w:contextualSpacing/>
        <w:rPr>
          <w:rFonts w:ascii="Arial" w:hAnsi="Arial" w:cs="Arial"/>
        </w:rPr>
      </w:pPr>
      <w:r w:rsidRPr="00057ADB">
        <w:rPr>
          <w:rFonts w:ascii="Arial" w:hAnsi="Arial" w:cs="Arial"/>
        </w:rPr>
        <w:t>Th</w:t>
      </w:r>
      <w:r w:rsidR="002570E5" w:rsidRPr="00057ADB">
        <w:rPr>
          <w:rFonts w:ascii="Arial" w:hAnsi="Arial" w:cs="Arial"/>
        </w:rPr>
        <w:t>e goal</w:t>
      </w:r>
      <w:r w:rsidR="002570E5" w:rsidRPr="00057ADB">
        <w:rPr>
          <w:rFonts w:ascii="Arial" w:hAnsi="Arial" w:cs="Arial"/>
        </w:rPr>
        <w:t xml:space="preserve"> </w:t>
      </w:r>
      <w:r w:rsidR="002570E5" w:rsidRPr="00057ADB">
        <w:rPr>
          <w:rFonts w:ascii="Arial" w:hAnsi="Arial" w:cs="Arial"/>
        </w:rPr>
        <w:t xml:space="preserve">of a screening and surveillance program for </w:t>
      </w:r>
      <w:r w:rsidRPr="00057ADB">
        <w:rPr>
          <w:rFonts w:ascii="Arial" w:hAnsi="Arial" w:cs="Arial"/>
        </w:rPr>
        <w:t>Barrett's esophagus</w:t>
      </w:r>
      <w:r w:rsidR="002570E5" w:rsidRPr="00057ADB">
        <w:rPr>
          <w:rFonts w:ascii="Arial" w:hAnsi="Arial" w:cs="Arial"/>
        </w:rPr>
        <w:t xml:space="preserve"> is to identify individuals</w:t>
      </w:r>
      <w:r w:rsidRPr="00057ADB">
        <w:rPr>
          <w:rFonts w:ascii="Arial" w:hAnsi="Arial" w:cs="Arial"/>
        </w:rPr>
        <w:t xml:space="preserve"> </w:t>
      </w:r>
      <w:r w:rsidR="002570E5" w:rsidRPr="00057ADB">
        <w:rPr>
          <w:rFonts w:ascii="Arial" w:hAnsi="Arial" w:cs="Arial"/>
        </w:rPr>
        <w:t>at risk for progression to esophageal adenocarcinoma</w:t>
      </w:r>
      <w:r w:rsidR="002570E5" w:rsidRPr="00057ADB">
        <w:rPr>
          <w:rFonts w:ascii="Arial" w:hAnsi="Arial" w:cs="Arial"/>
        </w:rPr>
        <w:t>.</w:t>
      </w:r>
    </w:p>
    <w:p w:rsidR="005C6700" w:rsidRPr="00057ADB" w:rsidRDefault="005C6700" w:rsidP="005C6700">
      <w:pPr>
        <w:contextualSpacing/>
        <w:rPr>
          <w:rFonts w:ascii="Arial" w:hAnsi="Arial" w:cs="Arial"/>
        </w:rPr>
      </w:pPr>
    </w:p>
    <w:p w:rsidR="00B06521" w:rsidRPr="00057ADB" w:rsidRDefault="00B06521" w:rsidP="00B06521">
      <w:pPr>
        <w:rPr>
          <w:rFonts w:ascii="Arial" w:hAnsi="Arial" w:cs="Arial"/>
        </w:rPr>
      </w:pPr>
      <w:r w:rsidRPr="00057ADB">
        <w:rPr>
          <w:rFonts w:ascii="Arial" w:hAnsi="Arial" w:cs="Arial"/>
        </w:rPr>
        <w:lastRenderedPageBreak/>
        <w:t>For Barrett's esophagus patients without dysplasia, endoscopic surveillance should take place at intervals of 3 to 5 years.</w:t>
      </w:r>
    </w:p>
    <w:p w:rsidR="00B06521" w:rsidRPr="00057ADB" w:rsidRDefault="00B06521" w:rsidP="00B06521">
      <w:pPr>
        <w:rPr>
          <w:rFonts w:ascii="Arial" w:hAnsi="Arial" w:cs="Arial"/>
        </w:rPr>
      </w:pPr>
      <w:r w:rsidRPr="00057ADB">
        <w:rPr>
          <w:rFonts w:ascii="Arial" w:hAnsi="Arial" w:cs="Arial"/>
        </w:rPr>
        <w:t>Patients diagnosed with Barrett's esophagus on initial examination do not require a repeat endoscopy in 1 y</w:t>
      </w:r>
      <w:r w:rsidRPr="00057ADB">
        <w:rPr>
          <w:rFonts w:ascii="Arial" w:hAnsi="Arial" w:cs="Arial"/>
        </w:rPr>
        <w:t>ear for dysplasia surveillance</w:t>
      </w:r>
      <w:r w:rsidRPr="00057ADB">
        <w:rPr>
          <w:rFonts w:ascii="Arial" w:hAnsi="Arial" w:cs="Arial"/>
        </w:rPr>
        <w:t>.</w:t>
      </w:r>
    </w:p>
    <w:p w:rsidR="00B06521" w:rsidRPr="00057ADB" w:rsidRDefault="00B06521" w:rsidP="00B06521">
      <w:pPr>
        <w:rPr>
          <w:rFonts w:ascii="Arial" w:hAnsi="Arial" w:cs="Arial"/>
        </w:rPr>
      </w:pPr>
      <w:r w:rsidRPr="00057ADB">
        <w:rPr>
          <w:rFonts w:ascii="Arial" w:hAnsi="Arial" w:cs="Arial"/>
        </w:rPr>
        <w:t>For patients with indefinite for dysplasia, a repeat endoscopy after optimization of acid suppressive medications for 3–6 months should be performed.</w:t>
      </w:r>
    </w:p>
    <w:p w:rsidR="00B06521" w:rsidRPr="00057ADB" w:rsidRDefault="00B06521" w:rsidP="00B06521">
      <w:pPr>
        <w:rPr>
          <w:rFonts w:ascii="Arial" w:hAnsi="Arial" w:cs="Arial"/>
        </w:rPr>
      </w:pPr>
      <w:r w:rsidRPr="00057ADB">
        <w:rPr>
          <w:rFonts w:ascii="Arial" w:hAnsi="Arial" w:cs="Arial"/>
        </w:rPr>
        <w:t>If the indefinite for dysplasia reading is confirmed on this examination, a surveillance interval of 12 months is recommended.</w:t>
      </w:r>
    </w:p>
    <w:p w:rsidR="006C7260" w:rsidRPr="00057ADB" w:rsidRDefault="00B06521" w:rsidP="00B06521">
      <w:pPr>
        <w:rPr>
          <w:rFonts w:ascii="Arial" w:hAnsi="Arial" w:cs="Arial"/>
        </w:rPr>
      </w:pPr>
      <w:r w:rsidRPr="00057ADB">
        <w:rPr>
          <w:rFonts w:ascii="Arial" w:hAnsi="Arial" w:cs="Arial"/>
        </w:rPr>
        <w:t>For patients with confirmed low-grade dysplasia and without life-limiting comorbidity, endoscopic therapy is considered as the preferred treatment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modality, although endoscopic surveillance every 12 months is an acceptable alternative</w:t>
      </w:r>
      <w:r w:rsidRPr="00057ADB">
        <w:rPr>
          <w:rFonts w:ascii="Arial" w:hAnsi="Arial" w:cs="Arial"/>
        </w:rPr>
        <w:t>.</w:t>
      </w:r>
    </w:p>
    <w:p w:rsidR="00B06521" w:rsidRPr="00057ADB" w:rsidRDefault="00B06521" w:rsidP="00B06521">
      <w:pPr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Patients with </w:t>
      </w:r>
      <w:r w:rsidRPr="00057ADB">
        <w:rPr>
          <w:rFonts w:ascii="Arial" w:hAnsi="Arial" w:cs="Arial"/>
        </w:rPr>
        <w:t>Barrett's esophagus</w:t>
      </w:r>
      <w:r w:rsidRPr="00057ADB">
        <w:rPr>
          <w:rFonts w:ascii="Arial" w:hAnsi="Arial" w:cs="Arial"/>
        </w:rPr>
        <w:t xml:space="preserve"> and confirmed high-grade dysplasia should be managed with endoscopic therapy unless they have life-limiting comorbidity</w:t>
      </w:r>
      <w:r w:rsidR="00057ADB">
        <w:rPr>
          <w:rFonts w:ascii="Arial" w:hAnsi="Arial" w:cs="Arial"/>
        </w:rPr>
        <w:t>.</w:t>
      </w:r>
    </w:p>
    <w:p w:rsidR="00057ADB" w:rsidRDefault="00057ADB">
      <w:pPr>
        <w:rPr>
          <w:rFonts w:ascii="Arial" w:hAnsi="Arial" w:cs="Arial"/>
          <w:b/>
          <w:sz w:val="24"/>
          <w:szCs w:val="24"/>
        </w:rPr>
      </w:pPr>
    </w:p>
    <w:p w:rsidR="006C7260" w:rsidRDefault="006C7260" w:rsidP="005C6700">
      <w:pPr>
        <w:contextualSpacing/>
        <w:rPr>
          <w:rFonts w:ascii="Arial" w:hAnsi="Arial" w:cs="Arial"/>
          <w:b/>
          <w:sz w:val="24"/>
          <w:szCs w:val="24"/>
        </w:rPr>
      </w:pPr>
      <w:r w:rsidRPr="002570E5">
        <w:rPr>
          <w:rFonts w:ascii="Arial" w:hAnsi="Arial" w:cs="Arial"/>
          <w:b/>
          <w:sz w:val="24"/>
          <w:szCs w:val="24"/>
        </w:rPr>
        <w:t xml:space="preserve">How is </w:t>
      </w:r>
      <w:r w:rsidRPr="002570E5">
        <w:rPr>
          <w:rFonts w:ascii="Arial" w:hAnsi="Arial" w:cs="Arial"/>
          <w:b/>
          <w:sz w:val="24"/>
          <w:szCs w:val="24"/>
        </w:rPr>
        <w:t>Barrett’s Esophagus</w:t>
      </w:r>
      <w:r w:rsidRPr="002570E5">
        <w:rPr>
          <w:rFonts w:ascii="Arial" w:hAnsi="Arial" w:cs="Arial"/>
          <w:b/>
          <w:sz w:val="24"/>
          <w:szCs w:val="24"/>
        </w:rPr>
        <w:t xml:space="preserve"> treated?</w:t>
      </w:r>
    </w:p>
    <w:p w:rsidR="00C420B7" w:rsidRDefault="00C420B7" w:rsidP="005C6700">
      <w:pPr>
        <w:contextualSpacing/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Treatments for </w:t>
      </w:r>
      <w:r w:rsidRPr="00057ADB">
        <w:rPr>
          <w:rFonts w:ascii="Arial" w:hAnsi="Arial" w:cs="Arial"/>
        </w:rPr>
        <w:t>Barrett's esophagus</w:t>
      </w:r>
      <w:r w:rsidRPr="00057ADB">
        <w:rPr>
          <w:rFonts w:ascii="Arial" w:hAnsi="Arial" w:cs="Arial"/>
        </w:rPr>
        <w:t xml:space="preserve"> include chemoprevention, endoscopic therapy and surgical therapy.</w:t>
      </w:r>
    </w:p>
    <w:p w:rsidR="005C6700" w:rsidRPr="00057ADB" w:rsidRDefault="005C6700" w:rsidP="007A079C">
      <w:pPr>
        <w:contextualSpacing/>
        <w:rPr>
          <w:rFonts w:ascii="Arial" w:hAnsi="Arial" w:cs="Arial"/>
        </w:rPr>
      </w:pPr>
    </w:p>
    <w:p w:rsidR="00C420B7" w:rsidRPr="00057ADB" w:rsidRDefault="00C420B7" w:rsidP="007A079C">
      <w:pPr>
        <w:contextualSpacing/>
        <w:rPr>
          <w:rFonts w:ascii="Arial" w:hAnsi="Arial" w:cs="Arial"/>
          <w:b/>
          <w:i/>
        </w:rPr>
      </w:pPr>
      <w:r w:rsidRPr="00057ADB">
        <w:rPr>
          <w:rFonts w:ascii="Arial" w:hAnsi="Arial" w:cs="Arial"/>
          <w:b/>
          <w:i/>
        </w:rPr>
        <w:t>C</w:t>
      </w:r>
      <w:r w:rsidRPr="00057ADB">
        <w:rPr>
          <w:rFonts w:ascii="Arial" w:hAnsi="Arial" w:cs="Arial"/>
          <w:b/>
          <w:i/>
        </w:rPr>
        <w:t>hemoprevention</w:t>
      </w:r>
      <w:r w:rsidRPr="00057ADB">
        <w:rPr>
          <w:rFonts w:ascii="Arial" w:hAnsi="Arial" w:cs="Arial"/>
          <w:b/>
          <w:i/>
        </w:rPr>
        <w:t xml:space="preserve"> </w:t>
      </w:r>
    </w:p>
    <w:p w:rsidR="00C420B7" w:rsidRPr="00057ADB" w:rsidRDefault="00C420B7" w:rsidP="007A079C">
      <w:pPr>
        <w:contextualSpacing/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Patients with Barrett's esophagus should receive once-daily </w:t>
      </w:r>
      <w:r w:rsidRPr="00057ADB">
        <w:rPr>
          <w:rFonts w:ascii="Arial" w:hAnsi="Arial" w:cs="Arial"/>
        </w:rPr>
        <w:t>proton pumper inhibitor (</w:t>
      </w:r>
      <w:r w:rsidRPr="00057ADB">
        <w:rPr>
          <w:rFonts w:ascii="Arial" w:hAnsi="Arial" w:cs="Arial"/>
        </w:rPr>
        <w:t>PPI</w:t>
      </w:r>
      <w:r w:rsidRPr="00057ADB">
        <w:rPr>
          <w:rFonts w:ascii="Arial" w:hAnsi="Arial" w:cs="Arial"/>
        </w:rPr>
        <w:t>)</w:t>
      </w:r>
      <w:r w:rsidRPr="00057ADB">
        <w:rPr>
          <w:rFonts w:ascii="Arial" w:hAnsi="Arial" w:cs="Arial"/>
        </w:rPr>
        <w:t xml:space="preserve"> therapy. 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Aspirin or NSAIDs should not be routinely prescribed to patients with Barrett's esophagus as an antineoplastic strategy. Similarly, other putative </w:t>
      </w:r>
      <w:proofErr w:type="spellStart"/>
      <w:r w:rsidRPr="00057ADB">
        <w:rPr>
          <w:rFonts w:ascii="Arial" w:hAnsi="Arial" w:cs="Arial"/>
        </w:rPr>
        <w:t>chemopreventive</w:t>
      </w:r>
      <w:proofErr w:type="spellEnd"/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agents currently lack sufficient evidence and should not be administered routinely.</w:t>
      </w:r>
    </w:p>
    <w:p w:rsidR="00C420B7" w:rsidRPr="00057ADB" w:rsidRDefault="00C420B7" w:rsidP="007A079C">
      <w:pPr>
        <w:contextualSpacing/>
        <w:rPr>
          <w:rFonts w:ascii="Arial" w:hAnsi="Arial" w:cs="Arial"/>
          <w:b/>
          <w:i/>
        </w:rPr>
      </w:pPr>
      <w:r w:rsidRPr="00057ADB">
        <w:rPr>
          <w:rFonts w:ascii="Arial" w:hAnsi="Arial" w:cs="Arial"/>
          <w:b/>
          <w:i/>
        </w:rPr>
        <w:t>Endoscopic therapy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>Patients with nodularity in the Barrett's esophagus segment should undergo endoscopic mucosal resection of the nodular lesion(s) as the initial diagnostic and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therapeutic maneuver. Histologic assessment of the </w:t>
      </w:r>
      <w:proofErr w:type="spellStart"/>
      <w:r w:rsidRPr="00057ADB">
        <w:rPr>
          <w:rFonts w:ascii="Arial" w:hAnsi="Arial" w:cs="Arial"/>
        </w:rPr>
        <w:t>endomucosal</w:t>
      </w:r>
      <w:proofErr w:type="spellEnd"/>
      <w:r w:rsidRPr="00057ADB">
        <w:rPr>
          <w:rFonts w:ascii="Arial" w:hAnsi="Arial" w:cs="Arial"/>
        </w:rPr>
        <w:t xml:space="preserve"> resection (</w:t>
      </w:r>
      <w:r w:rsidRPr="00057ADB">
        <w:rPr>
          <w:rFonts w:ascii="Arial" w:hAnsi="Arial" w:cs="Arial"/>
        </w:rPr>
        <w:t>EMR</w:t>
      </w:r>
      <w:r w:rsidRPr="00057ADB">
        <w:rPr>
          <w:rFonts w:ascii="Arial" w:hAnsi="Arial" w:cs="Arial"/>
        </w:rPr>
        <w:t>)</w:t>
      </w:r>
      <w:r w:rsidRPr="00057ADB">
        <w:rPr>
          <w:rFonts w:ascii="Arial" w:hAnsi="Arial" w:cs="Arial"/>
        </w:rPr>
        <w:t xml:space="preserve"> specimen should guide further therapy. In subjects with EMR specimens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demonstrating </w:t>
      </w:r>
      <w:r w:rsidRPr="00057ADB">
        <w:rPr>
          <w:rFonts w:ascii="Arial" w:hAnsi="Arial" w:cs="Arial"/>
        </w:rPr>
        <w:t>high grade dysplasia</w:t>
      </w:r>
      <w:r w:rsidRPr="00057ADB">
        <w:rPr>
          <w:rFonts w:ascii="Arial" w:hAnsi="Arial" w:cs="Arial"/>
        </w:rPr>
        <w:t xml:space="preserve">, or </w:t>
      </w:r>
      <w:proofErr w:type="spellStart"/>
      <w:r w:rsidRPr="00057ADB">
        <w:rPr>
          <w:rFonts w:ascii="Arial" w:hAnsi="Arial" w:cs="Arial"/>
        </w:rPr>
        <w:t>intramucosal</w:t>
      </w:r>
      <w:proofErr w:type="spellEnd"/>
      <w:r w:rsidRPr="00057ADB">
        <w:rPr>
          <w:rFonts w:ascii="Arial" w:hAnsi="Arial" w:cs="Arial"/>
        </w:rPr>
        <w:t xml:space="preserve"> carcinoma</w:t>
      </w:r>
      <w:r w:rsidRPr="00057ADB">
        <w:rPr>
          <w:rFonts w:ascii="Arial" w:hAnsi="Arial" w:cs="Arial"/>
        </w:rPr>
        <w:t xml:space="preserve">, endoscopic ablative therapy of the remaining </w:t>
      </w:r>
      <w:r w:rsidR="00057ADB" w:rsidRPr="00057ADB">
        <w:rPr>
          <w:rFonts w:ascii="Arial" w:hAnsi="Arial" w:cs="Arial"/>
        </w:rPr>
        <w:t>Barrett's esophagus</w:t>
      </w:r>
      <w:r w:rsidRPr="00057ADB">
        <w:rPr>
          <w:rFonts w:ascii="Arial" w:hAnsi="Arial" w:cs="Arial"/>
        </w:rPr>
        <w:t xml:space="preserve"> should be performed.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In patients with EMR specimens demonstrating </w:t>
      </w:r>
      <w:proofErr w:type="spellStart"/>
      <w:r w:rsidRPr="00057ADB">
        <w:rPr>
          <w:rFonts w:ascii="Arial" w:hAnsi="Arial" w:cs="Arial"/>
        </w:rPr>
        <w:t>neoplasia</w:t>
      </w:r>
      <w:proofErr w:type="spellEnd"/>
      <w:r w:rsidRPr="00057ADB">
        <w:rPr>
          <w:rFonts w:ascii="Arial" w:hAnsi="Arial" w:cs="Arial"/>
        </w:rPr>
        <w:t xml:space="preserve"> at a deep margin, residual </w:t>
      </w:r>
      <w:proofErr w:type="spellStart"/>
      <w:r w:rsidRPr="00057ADB">
        <w:rPr>
          <w:rFonts w:ascii="Arial" w:hAnsi="Arial" w:cs="Arial"/>
        </w:rPr>
        <w:t>neoplasia</w:t>
      </w:r>
      <w:proofErr w:type="spellEnd"/>
      <w:r w:rsidRPr="00057ADB">
        <w:rPr>
          <w:rFonts w:ascii="Arial" w:hAnsi="Arial" w:cs="Arial"/>
        </w:rPr>
        <w:t xml:space="preserve"> should be assumed, and surgical, systemic, or additional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endoscopic therapies should be considered.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Endoscopic ablative therapies should not be routinely applied to patients with </w:t>
      </w:r>
      <w:proofErr w:type="spellStart"/>
      <w:r w:rsidRPr="00057ADB">
        <w:rPr>
          <w:rFonts w:ascii="Arial" w:hAnsi="Arial" w:cs="Arial"/>
        </w:rPr>
        <w:t>nondysplastic</w:t>
      </w:r>
      <w:proofErr w:type="spellEnd"/>
      <w:r w:rsidRPr="00057ADB">
        <w:rPr>
          <w:rFonts w:ascii="Arial" w:hAnsi="Arial" w:cs="Arial"/>
        </w:rPr>
        <w:t xml:space="preserve"> Barrett's esophagus because of their low risk of progression to </w:t>
      </w:r>
      <w:r w:rsidRPr="00057ADB">
        <w:rPr>
          <w:rFonts w:ascii="Arial" w:hAnsi="Arial" w:cs="Arial"/>
        </w:rPr>
        <w:t>esophageal adenocarcinoma</w:t>
      </w:r>
      <w:r w:rsidRPr="00057ADB">
        <w:rPr>
          <w:rFonts w:ascii="Arial" w:hAnsi="Arial" w:cs="Arial"/>
        </w:rPr>
        <w:t xml:space="preserve">. </w:t>
      </w:r>
      <w:r w:rsidRPr="00057ADB">
        <w:rPr>
          <w:rFonts w:ascii="Arial" w:hAnsi="Arial" w:cs="Arial"/>
        </w:rPr>
        <w:lastRenderedPageBreak/>
        <w:t>Endoscopic eradication therapy is the procedure of</w:t>
      </w:r>
      <w:r w:rsidRPr="00057ADB">
        <w:rPr>
          <w:rFonts w:ascii="Arial" w:hAnsi="Arial" w:cs="Arial"/>
        </w:rPr>
        <w:t xml:space="preserve"> choice for patients with confi</w:t>
      </w:r>
      <w:r w:rsidRPr="00057ADB">
        <w:rPr>
          <w:rFonts w:ascii="Arial" w:hAnsi="Arial" w:cs="Arial"/>
        </w:rPr>
        <w:t xml:space="preserve">rmed </w:t>
      </w:r>
      <w:r w:rsidRPr="00057ADB">
        <w:rPr>
          <w:rFonts w:ascii="Arial" w:hAnsi="Arial" w:cs="Arial"/>
        </w:rPr>
        <w:t>low grade dysplasia</w:t>
      </w:r>
      <w:r w:rsidRPr="00057ADB">
        <w:rPr>
          <w:rFonts w:ascii="Arial" w:hAnsi="Arial" w:cs="Arial"/>
        </w:rPr>
        <w:t>, and confi</w:t>
      </w:r>
      <w:r w:rsidRPr="00057ADB">
        <w:rPr>
          <w:rFonts w:ascii="Arial" w:hAnsi="Arial" w:cs="Arial"/>
        </w:rPr>
        <w:t xml:space="preserve">rmed high </w:t>
      </w:r>
      <w:r w:rsidRPr="00057ADB">
        <w:rPr>
          <w:rFonts w:ascii="Arial" w:hAnsi="Arial" w:cs="Arial"/>
        </w:rPr>
        <w:t>grade dysplasia.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>In patients with T1a esophageal adenocarcinoma, endoscopic therapy is the preferred therapeutic approach, being both effective and well tolerated.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>In patients with T1b esophageal adenocarcinoma, consultation with multidisciplinary surgical oncology team should occur before embarking on endoscopic therapy. In such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patients, endoscopic therapy may be an alternative strategy to </w:t>
      </w:r>
      <w:proofErr w:type="spellStart"/>
      <w:r w:rsidRPr="00057ADB">
        <w:rPr>
          <w:rFonts w:ascii="Arial" w:hAnsi="Arial" w:cs="Arial"/>
        </w:rPr>
        <w:t>esophagectomy</w:t>
      </w:r>
      <w:proofErr w:type="spellEnd"/>
      <w:r w:rsidRPr="00057ADB">
        <w:rPr>
          <w:rFonts w:ascii="Arial" w:hAnsi="Arial" w:cs="Arial"/>
        </w:rPr>
        <w:t>, especially in those with superf</w:t>
      </w:r>
      <w:r w:rsidRPr="00057ADB">
        <w:rPr>
          <w:rFonts w:ascii="Arial" w:hAnsi="Arial" w:cs="Arial"/>
        </w:rPr>
        <w:t>i</w:t>
      </w:r>
      <w:r w:rsidRPr="00057ADB">
        <w:rPr>
          <w:rFonts w:ascii="Arial" w:hAnsi="Arial" w:cs="Arial"/>
        </w:rPr>
        <w:t>cial (sm1) disease with a well-differentiated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neoplasm lacking </w:t>
      </w:r>
      <w:proofErr w:type="spellStart"/>
      <w:r w:rsidRPr="00057ADB">
        <w:rPr>
          <w:rFonts w:ascii="Arial" w:hAnsi="Arial" w:cs="Arial"/>
        </w:rPr>
        <w:t>lymphovascular</w:t>
      </w:r>
      <w:proofErr w:type="spellEnd"/>
      <w:r w:rsidRPr="00057ADB">
        <w:rPr>
          <w:rFonts w:ascii="Arial" w:hAnsi="Arial" w:cs="Arial"/>
        </w:rPr>
        <w:t xml:space="preserve"> invasion, as well as those who are poor surgical candidates.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>In patients with known T1b disease, EUS may have a role in assessing and sampling regional lymph nodes, given the increased prevalence of lymph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node involvement in these patients compared with less advanced disease.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In patients with dysplastic Barrett's esophagus who are to undergo endoscopic ablative therapy for </w:t>
      </w:r>
      <w:proofErr w:type="spellStart"/>
      <w:r w:rsidRPr="00057ADB">
        <w:rPr>
          <w:rFonts w:ascii="Arial" w:hAnsi="Arial" w:cs="Arial"/>
        </w:rPr>
        <w:t>nonnodular</w:t>
      </w:r>
      <w:proofErr w:type="spellEnd"/>
      <w:r w:rsidRPr="00057ADB">
        <w:rPr>
          <w:rFonts w:ascii="Arial" w:hAnsi="Arial" w:cs="Arial"/>
        </w:rPr>
        <w:t xml:space="preserve"> disease, radiofrequency ablation is currently the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prefer</w:t>
      </w:r>
      <w:r w:rsidRPr="00057ADB">
        <w:rPr>
          <w:rFonts w:ascii="Arial" w:hAnsi="Arial" w:cs="Arial"/>
        </w:rPr>
        <w:t>red endoscopic ablative therapy.</w:t>
      </w:r>
    </w:p>
    <w:p w:rsidR="00C420B7" w:rsidRPr="00057ADB" w:rsidRDefault="00C420B7" w:rsidP="007A079C">
      <w:pPr>
        <w:contextualSpacing/>
        <w:rPr>
          <w:rFonts w:ascii="Arial" w:hAnsi="Arial" w:cs="Arial"/>
          <w:b/>
          <w:i/>
        </w:rPr>
      </w:pPr>
      <w:r w:rsidRPr="00057ADB">
        <w:rPr>
          <w:rFonts w:ascii="Arial" w:hAnsi="Arial" w:cs="Arial"/>
          <w:b/>
          <w:i/>
        </w:rPr>
        <w:t>Surgical therapy</w:t>
      </w:r>
    </w:p>
    <w:p w:rsidR="00C420B7" w:rsidRPr="00057ADB" w:rsidRDefault="00C420B7" w:rsidP="00C420B7">
      <w:pPr>
        <w:rPr>
          <w:rFonts w:ascii="Arial" w:hAnsi="Arial" w:cs="Arial"/>
        </w:rPr>
      </w:pPr>
      <w:proofErr w:type="spellStart"/>
      <w:r w:rsidRPr="00057ADB">
        <w:rPr>
          <w:rFonts w:ascii="Arial" w:hAnsi="Arial" w:cs="Arial"/>
        </w:rPr>
        <w:t>Antirefl</w:t>
      </w:r>
      <w:r w:rsidRPr="00057ADB">
        <w:rPr>
          <w:rFonts w:ascii="Arial" w:hAnsi="Arial" w:cs="Arial"/>
        </w:rPr>
        <w:t>e</w:t>
      </w:r>
      <w:r w:rsidRPr="00057ADB">
        <w:rPr>
          <w:rFonts w:ascii="Arial" w:hAnsi="Arial" w:cs="Arial"/>
        </w:rPr>
        <w:t>ux</w:t>
      </w:r>
      <w:proofErr w:type="spellEnd"/>
      <w:r w:rsidRPr="00057ADB">
        <w:rPr>
          <w:rFonts w:ascii="Arial" w:hAnsi="Arial" w:cs="Arial"/>
        </w:rPr>
        <w:t xml:space="preserve"> surgery should not be pursued in patients with Barrett's esophagus as an antineoplastic measure. However, this surgery should be considered in those with</w:t>
      </w:r>
      <w:r w:rsidRPr="00057ADB">
        <w:rPr>
          <w:rFonts w:ascii="Arial" w:hAnsi="Arial" w:cs="Arial"/>
        </w:rPr>
        <w:t xml:space="preserve"> incomplete control of refl</w:t>
      </w:r>
      <w:r w:rsidRPr="00057ADB">
        <w:rPr>
          <w:rFonts w:ascii="Arial" w:hAnsi="Arial" w:cs="Arial"/>
        </w:rPr>
        <w:t>ux symptoms on optimized medical therapy.</w:t>
      </w:r>
    </w:p>
    <w:p w:rsidR="00C420B7" w:rsidRPr="00057ADB" w:rsidRDefault="00C420B7" w:rsidP="00C420B7">
      <w:pPr>
        <w:rPr>
          <w:rFonts w:ascii="Arial" w:hAnsi="Arial" w:cs="Arial"/>
        </w:rPr>
      </w:pPr>
      <w:r w:rsidRPr="00057ADB">
        <w:rPr>
          <w:rFonts w:ascii="Arial" w:hAnsi="Arial" w:cs="Arial"/>
        </w:rPr>
        <w:t xml:space="preserve">In cases of Barrett's esophagus with invasion into the </w:t>
      </w:r>
      <w:proofErr w:type="spellStart"/>
      <w:r w:rsidRPr="00057ADB">
        <w:rPr>
          <w:rFonts w:ascii="Arial" w:hAnsi="Arial" w:cs="Arial"/>
        </w:rPr>
        <w:t>submucosa</w:t>
      </w:r>
      <w:proofErr w:type="spellEnd"/>
      <w:r w:rsidRPr="00057ADB">
        <w:rPr>
          <w:rFonts w:ascii="Arial" w:hAnsi="Arial" w:cs="Arial"/>
        </w:rPr>
        <w:t xml:space="preserve">, especially those with invasion to the mid or deep </w:t>
      </w:r>
      <w:proofErr w:type="spellStart"/>
      <w:r w:rsidRPr="00057ADB">
        <w:rPr>
          <w:rFonts w:ascii="Arial" w:hAnsi="Arial" w:cs="Arial"/>
        </w:rPr>
        <w:t>submucosa</w:t>
      </w:r>
      <w:proofErr w:type="spellEnd"/>
      <w:r w:rsidRPr="00057ADB">
        <w:rPr>
          <w:rFonts w:ascii="Arial" w:hAnsi="Arial" w:cs="Arial"/>
        </w:rPr>
        <w:t xml:space="preserve"> (T1b, sm2–3), </w:t>
      </w:r>
      <w:proofErr w:type="spellStart"/>
      <w:r w:rsidRPr="00057ADB">
        <w:rPr>
          <w:rFonts w:ascii="Arial" w:hAnsi="Arial" w:cs="Arial"/>
        </w:rPr>
        <w:t>esophagectomy</w:t>
      </w:r>
      <w:proofErr w:type="spellEnd"/>
      <w:r w:rsidRPr="00057ADB">
        <w:rPr>
          <w:rFonts w:ascii="Arial" w:hAnsi="Arial" w:cs="Arial"/>
        </w:rPr>
        <w:t>, with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 xml:space="preserve">consideration of </w:t>
      </w:r>
      <w:proofErr w:type="spellStart"/>
      <w:proofErr w:type="gramStart"/>
      <w:r w:rsidRPr="00057ADB">
        <w:rPr>
          <w:rFonts w:ascii="Arial" w:hAnsi="Arial" w:cs="Arial"/>
        </w:rPr>
        <w:t>neoadjuvant</w:t>
      </w:r>
      <w:proofErr w:type="spellEnd"/>
      <w:proofErr w:type="gramEnd"/>
      <w:r w:rsidRPr="00057ADB">
        <w:rPr>
          <w:rFonts w:ascii="Arial" w:hAnsi="Arial" w:cs="Arial"/>
        </w:rPr>
        <w:t xml:space="preserve"> therapy, is recommended in the surgical candidate.</w:t>
      </w:r>
    </w:p>
    <w:p w:rsidR="006C7260" w:rsidRPr="006C7260" w:rsidRDefault="00C420B7">
      <w:pPr>
        <w:rPr>
          <w:b/>
        </w:rPr>
      </w:pPr>
      <w:r w:rsidRPr="00057ADB">
        <w:rPr>
          <w:rFonts w:ascii="Arial" w:hAnsi="Arial" w:cs="Arial"/>
        </w:rPr>
        <w:t xml:space="preserve">In patients with T1a or T1b sm1 adenocarcinoma, poor differentiation, </w:t>
      </w:r>
      <w:proofErr w:type="spellStart"/>
      <w:r w:rsidRPr="00057ADB">
        <w:rPr>
          <w:rFonts w:ascii="Arial" w:hAnsi="Arial" w:cs="Arial"/>
        </w:rPr>
        <w:t>lymphovascular</w:t>
      </w:r>
      <w:proofErr w:type="spellEnd"/>
      <w:r w:rsidRPr="00057ADB">
        <w:rPr>
          <w:rFonts w:ascii="Arial" w:hAnsi="Arial" w:cs="Arial"/>
        </w:rPr>
        <w:t xml:space="preserve"> invasion, or incomplete endoscopic mucosal resection should</w:t>
      </w:r>
      <w:r w:rsidRPr="00057ADB">
        <w:rPr>
          <w:rFonts w:ascii="Arial" w:hAnsi="Arial" w:cs="Arial"/>
        </w:rPr>
        <w:t xml:space="preserve"> </w:t>
      </w:r>
      <w:r w:rsidRPr="00057ADB">
        <w:rPr>
          <w:rFonts w:ascii="Arial" w:hAnsi="Arial" w:cs="Arial"/>
        </w:rPr>
        <w:t>prompt consideration of surgical and/or multimodality therapies</w:t>
      </w:r>
      <w:r w:rsidRPr="00057ADB">
        <w:rPr>
          <w:rFonts w:ascii="Arial" w:hAnsi="Arial" w:cs="Arial"/>
        </w:rPr>
        <w:t>.</w:t>
      </w:r>
    </w:p>
    <w:sectPr w:rsidR="006C7260" w:rsidRPr="006C7260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649" w:rsidRDefault="00587649" w:rsidP="007A079C">
      <w:pPr>
        <w:spacing w:after="0" w:line="240" w:lineRule="auto"/>
      </w:pPr>
      <w:r>
        <w:separator/>
      </w:r>
    </w:p>
  </w:endnote>
  <w:endnote w:type="continuationSeparator" w:id="0">
    <w:p w:rsidR="00587649" w:rsidRDefault="00587649" w:rsidP="007A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649" w:rsidRDefault="00587649" w:rsidP="007A079C">
      <w:pPr>
        <w:spacing w:after="0" w:line="240" w:lineRule="auto"/>
      </w:pPr>
      <w:r>
        <w:separator/>
      </w:r>
    </w:p>
  </w:footnote>
  <w:footnote w:type="continuationSeparator" w:id="0">
    <w:p w:rsidR="00587649" w:rsidRDefault="00587649" w:rsidP="007A0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32674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A079C" w:rsidRDefault="007A07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97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A079C" w:rsidRDefault="007A07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46B42"/>
    <w:multiLevelType w:val="hybridMultilevel"/>
    <w:tmpl w:val="2D7EA972"/>
    <w:lvl w:ilvl="0" w:tplc="2E365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462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084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7A1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4A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AA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0A4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03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76A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60"/>
    <w:rsid w:val="00057ADB"/>
    <w:rsid w:val="00160E73"/>
    <w:rsid w:val="002570E5"/>
    <w:rsid w:val="0033235B"/>
    <w:rsid w:val="003A03F0"/>
    <w:rsid w:val="00587649"/>
    <w:rsid w:val="005C6700"/>
    <w:rsid w:val="006C7260"/>
    <w:rsid w:val="006E0E66"/>
    <w:rsid w:val="007002B8"/>
    <w:rsid w:val="00707976"/>
    <w:rsid w:val="00783578"/>
    <w:rsid w:val="007A079C"/>
    <w:rsid w:val="00865270"/>
    <w:rsid w:val="00B06521"/>
    <w:rsid w:val="00C420B7"/>
    <w:rsid w:val="00DA571C"/>
    <w:rsid w:val="00F6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1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617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3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79C"/>
  </w:style>
  <w:style w:type="paragraph" w:styleId="Footer">
    <w:name w:val="footer"/>
    <w:basedOn w:val="Normal"/>
    <w:link w:val="FooterChar"/>
    <w:uiPriority w:val="99"/>
    <w:unhideWhenUsed/>
    <w:rsid w:val="007A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7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1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617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3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79C"/>
  </w:style>
  <w:style w:type="paragraph" w:styleId="Footer">
    <w:name w:val="footer"/>
    <w:basedOn w:val="Normal"/>
    <w:link w:val="FooterChar"/>
    <w:uiPriority w:val="99"/>
    <w:unhideWhenUsed/>
    <w:rsid w:val="007A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1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16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Yang, Xuebin</dc:creator>
  <cp:lastModifiedBy>Yang, Xuebin</cp:lastModifiedBy>
  <cp:revision>10</cp:revision>
  <dcterms:created xsi:type="dcterms:W3CDTF">2018-05-29T14:59:00Z</dcterms:created>
  <dcterms:modified xsi:type="dcterms:W3CDTF">2018-05-30T16:59:00Z</dcterms:modified>
</cp:coreProperties>
</file>